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8810C8" w14:textId="38540B60" w:rsidR="008847E7" w:rsidRDefault="008847E7">
      <w:pPr>
        <w:rPr>
          <w:lang w:val="en-US"/>
        </w:rPr>
      </w:pPr>
      <w:bookmarkStart w:id="0" w:name="_GoBack"/>
      <w:bookmarkEnd w:id="0"/>
    </w:p>
    <w:p w14:paraId="0B452D1B" w14:textId="77E0265E" w:rsidR="009D502A" w:rsidRDefault="009D502A">
      <w:pPr>
        <w:rPr>
          <w:lang w:val="en-US"/>
        </w:rPr>
      </w:pPr>
    </w:p>
    <w:p w14:paraId="6D2CE1E0" w14:textId="6DE246C8" w:rsidR="009D502A" w:rsidRDefault="009D502A">
      <w:pPr>
        <w:rPr>
          <w:lang w:val="en-US"/>
        </w:rPr>
      </w:pPr>
    </w:p>
    <w:p w14:paraId="1CC262F7" w14:textId="685B5E64" w:rsidR="009D502A" w:rsidRDefault="009D502A">
      <w:pPr>
        <w:rPr>
          <w:lang w:val="en-US"/>
        </w:rPr>
      </w:pPr>
    </w:p>
    <w:p w14:paraId="1441192B" w14:textId="206F3D3F" w:rsidR="009D502A" w:rsidRDefault="009D502A">
      <w:pPr>
        <w:rPr>
          <w:lang w:val="en-US"/>
        </w:rPr>
      </w:pPr>
    </w:p>
    <w:p w14:paraId="668D5D52" w14:textId="5841FEE9" w:rsidR="009D502A" w:rsidRDefault="009D502A">
      <w:pPr>
        <w:rPr>
          <w:lang w:val="en-US"/>
        </w:rPr>
      </w:pPr>
    </w:p>
    <w:p w14:paraId="76DD0E9A" w14:textId="1986219C" w:rsidR="009D502A" w:rsidRDefault="009D502A">
      <w:pPr>
        <w:rPr>
          <w:lang w:val="en-US"/>
        </w:rPr>
      </w:pPr>
    </w:p>
    <w:p w14:paraId="49C4144B" w14:textId="024B6B0D" w:rsidR="009D502A" w:rsidRDefault="009D502A">
      <w:pPr>
        <w:rPr>
          <w:lang w:val="en-US"/>
        </w:rPr>
      </w:pPr>
    </w:p>
    <w:p w14:paraId="2256711F" w14:textId="693E69DC" w:rsidR="009D502A" w:rsidRDefault="009D502A">
      <w:pPr>
        <w:rPr>
          <w:lang w:val="en-US"/>
        </w:rPr>
      </w:pPr>
    </w:p>
    <w:p w14:paraId="1A70053A" w14:textId="56852F8D" w:rsidR="009D502A" w:rsidRDefault="009D502A">
      <w:pPr>
        <w:rPr>
          <w:lang w:val="en-US"/>
        </w:rPr>
      </w:pPr>
    </w:p>
    <w:p w14:paraId="4E7E17E0" w14:textId="5666DC8B" w:rsidR="009D502A" w:rsidRDefault="009D502A">
      <w:pPr>
        <w:rPr>
          <w:lang w:val="en-US"/>
        </w:rPr>
      </w:pPr>
    </w:p>
    <w:p w14:paraId="4327971D" w14:textId="60DD0C79" w:rsidR="009D502A" w:rsidRDefault="009D502A">
      <w:pPr>
        <w:rPr>
          <w:lang w:val="en-US"/>
        </w:rPr>
      </w:pPr>
    </w:p>
    <w:p w14:paraId="1B346F1A" w14:textId="4596F690" w:rsidR="009D502A" w:rsidRDefault="009D502A">
      <w:pPr>
        <w:rPr>
          <w:lang w:val="en-US"/>
        </w:rPr>
      </w:pPr>
    </w:p>
    <w:p w14:paraId="4B7DBC0B" w14:textId="77777777" w:rsidR="009D502A" w:rsidRDefault="009D502A">
      <w:pPr>
        <w:rPr>
          <w:lang w:val="en-US"/>
        </w:rPr>
      </w:pPr>
    </w:p>
    <w:p w14:paraId="55C5C877" w14:textId="77777777" w:rsidR="009D502A" w:rsidRDefault="00437C63" w:rsidP="009D502A">
      <w:pPr>
        <w:jc w:val="center"/>
        <w:rPr>
          <w:lang w:val="en-US"/>
        </w:rPr>
      </w:pPr>
      <w:r>
        <w:rPr>
          <w:lang w:val="en-US"/>
        </w:rPr>
        <w:t>Treatment outcome Models</w:t>
      </w:r>
    </w:p>
    <w:p w14:paraId="7182595D" w14:textId="7D28BF16" w:rsidR="009D502A" w:rsidRDefault="00437C63" w:rsidP="009D502A">
      <w:pPr>
        <w:jc w:val="center"/>
        <w:rPr>
          <w:lang w:val="en-US"/>
        </w:rPr>
      </w:pPr>
      <w:r>
        <w:rPr>
          <w:lang w:val="en-US"/>
        </w:rPr>
        <w:t>Name</w:t>
      </w:r>
    </w:p>
    <w:p w14:paraId="0DCC089F" w14:textId="1F37BCD5" w:rsidR="009D502A" w:rsidRDefault="00437C63" w:rsidP="009D502A">
      <w:pPr>
        <w:jc w:val="center"/>
        <w:rPr>
          <w:lang w:val="en-US"/>
        </w:rPr>
      </w:pPr>
      <w:r>
        <w:rPr>
          <w:lang w:val="en-US"/>
        </w:rPr>
        <w:t>Institution</w:t>
      </w:r>
    </w:p>
    <w:p w14:paraId="22EFA52B" w14:textId="31A3C1A5" w:rsidR="00A3716A" w:rsidRDefault="00A3716A">
      <w:pPr>
        <w:rPr>
          <w:lang w:val="en-US"/>
        </w:rPr>
      </w:pPr>
    </w:p>
    <w:p w14:paraId="7248B400" w14:textId="6A2E54C4" w:rsidR="009D502A" w:rsidRDefault="009D502A">
      <w:pPr>
        <w:rPr>
          <w:lang w:val="en-US"/>
        </w:rPr>
      </w:pPr>
    </w:p>
    <w:p w14:paraId="0E76CB48" w14:textId="7E614818" w:rsidR="009D502A" w:rsidRDefault="009D502A">
      <w:pPr>
        <w:rPr>
          <w:lang w:val="en-US"/>
        </w:rPr>
      </w:pPr>
    </w:p>
    <w:p w14:paraId="7517B0BC" w14:textId="28E40B6B" w:rsidR="009D502A" w:rsidRDefault="009D502A">
      <w:pPr>
        <w:rPr>
          <w:lang w:val="en-US"/>
        </w:rPr>
      </w:pPr>
    </w:p>
    <w:p w14:paraId="4F96C9BC" w14:textId="66C5FE2C" w:rsidR="009D502A" w:rsidRDefault="009D502A">
      <w:pPr>
        <w:rPr>
          <w:lang w:val="en-US"/>
        </w:rPr>
      </w:pPr>
    </w:p>
    <w:p w14:paraId="54B4C5C2" w14:textId="36139345" w:rsidR="009D502A" w:rsidRDefault="009D502A">
      <w:pPr>
        <w:rPr>
          <w:lang w:val="en-US"/>
        </w:rPr>
      </w:pPr>
    </w:p>
    <w:p w14:paraId="28059835" w14:textId="79ACF06F" w:rsidR="009D502A" w:rsidRDefault="009D502A">
      <w:pPr>
        <w:rPr>
          <w:lang w:val="en-US"/>
        </w:rPr>
      </w:pPr>
    </w:p>
    <w:p w14:paraId="7A90C197" w14:textId="1E5FB405" w:rsidR="009D502A" w:rsidRDefault="009D502A">
      <w:pPr>
        <w:rPr>
          <w:lang w:val="en-US"/>
        </w:rPr>
      </w:pPr>
    </w:p>
    <w:p w14:paraId="5889E886" w14:textId="3DAA4C2C" w:rsidR="009D502A" w:rsidRDefault="009D502A">
      <w:pPr>
        <w:rPr>
          <w:lang w:val="en-US"/>
        </w:rPr>
      </w:pPr>
    </w:p>
    <w:p w14:paraId="4939189D" w14:textId="2E7216B4" w:rsidR="009D502A" w:rsidRDefault="009D502A">
      <w:pPr>
        <w:rPr>
          <w:lang w:val="en-US"/>
        </w:rPr>
      </w:pPr>
    </w:p>
    <w:p w14:paraId="69DDBECC" w14:textId="7AED75EB" w:rsidR="009D502A" w:rsidRDefault="009D502A">
      <w:pPr>
        <w:rPr>
          <w:lang w:val="en-US"/>
        </w:rPr>
      </w:pPr>
    </w:p>
    <w:p w14:paraId="02D1A219" w14:textId="3F4457F2" w:rsidR="009D502A" w:rsidRDefault="009D502A">
      <w:pPr>
        <w:rPr>
          <w:lang w:val="en-US"/>
        </w:rPr>
      </w:pPr>
    </w:p>
    <w:p w14:paraId="3BEEC7F7" w14:textId="77777777" w:rsidR="009D502A" w:rsidRDefault="009D502A">
      <w:pPr>
        <w:rPr>
          <w:lang w:val="en-US"/>
        </w:rPr>
      </w:pPr>
    </w:p>
    <w:p w14:paraId="410C6706" w14:textId="387CB319" w:rsidR="008847E7" w:rsidRDefault="00437C63" w:rsidP="00720CF3">
      <w:pPr>
        <w:spacing w:line="480" w:lineRule="auto"/>
        <w:ind w:firstLine="720"/>
        <w:rPr>
          <w:lang w:val="en-US"/>
        </w:rPr>
      </w:pPr>
      <w:r>
        <w:rPr>
          <w:lang w:val="en-US"/>
        </w:rPr>
        <w:lastRenderedPageBreak/>
        <w:t>Defining treatment outcomes are vital in developing a better plan within a given situation. Defining positive change provide a strong emphasis on crucial changes which represent a well-engaged emphasis on the best possible model that can help attain positive development. The treatment outcome models are developed with a critical focus on specific elements which define a higher level of success. Recidivism, relapse, and harm-reduction treatment outcome models focus on different aspects which can be adequately evaluated to achieve positive outcomes. These three models help clinicians understand the clinical practice as well as planning for treatment in a forensic setting based on the underlying goals.</w:t>
      </w:r>
    </w:p>
    <w:p w14:paraId="19EC23EB" w14:textId="1DD062FC" w:rsidR="008847E7" w:rsidRDefault="00437C63" w:rsidP="00720CF3">
      <w:pPr>
        <w:spacing w:line="480" w:lineRule="auto"/>
        <w:ind w:firstLine="720"/>
        <w:rPr>
          <w:lang w:val="en-US"/>
        </w:rPr>
      </w:pPr>
      <w:r>
        <w:rPr>
          <w:lang w:val="en-US"/>
        </w:rPr>
        <w:t xml:space="preserve">Relapse model </w:t>
      </w:r>
    </w:p>
    <w:p w14:paraId="5E72118C" w14:textId="752974D0" w:rsidR="008847E7" w:rsidRDefault="00437C63" w:rsidP="00720CF3">
      <w:pPr>
        <w:spacing w:line="480" w:lineRule="auto"/>
        <w:ind w:firstLine="720"/>
        <w:rPr>
          <w:lang w:val="en-US"/>
        </w:rPr>
      </w:pPr>
      <w:r>
        <w:rPr>
          <w:lang w:val="en-US"/>
        </w:rPr>
        <w:t>Relapse means returning to the previous set of behavior after an intervention has been unable to achieve significant success. An individual recovery process is hampered by diverse challenges which limit the ability to have a successful receiver process. The relapse model views behavior as cyclical and multifaceted. The model is highly consistent with other psychological models. Thus it can be used to assess individual behavior. The crucial underlying benefit of the relapse model is that it is consistent with treatment efforts and a single relapse doe not make an individual failure but provides a chance to employ more specific intervention to improve an individual receiver process</w:t>
      </w:r>
      <w:r w:rsidR="00720CF3">
        <w:rPr>
          <w:lang w:val="en-US"/>
        </w:rPr>
        <w:t xml:space="preserve"> (</w:t>
      </w:r>
      <w:r w:rsidR="00720CF3" w:rsidRPr="00720CF3">
        <w:t>Wright</w:t>
      </w:r>
      <w:r w:rsidR="00720CF3">
        <w:rPr>
          <w:lang w:val="en-US"/>
        </w:rPr>
        <w:t xml:space="preserve"> et al., 2012).</w:t>
      </w:r>
      <w:r>
        <w:rPr>
          <w:lang w:val="en-US"/>
        </w:rPr>
        <w:t xml:space="preserve"> The challenge of this model is that it is difficult to measure the level of accuracy. Inability to determine whether an individual is likely to develop relapse can be costly especially within a criminal justice setup. An individual who has previously had a lapse is expected to hide out of fear of increased </w:t>
      </w:r>
      <w:r w:rsidR="00A862CD">
        <w:rPr>
          <w:lang w:val="en-US"/>
        </w:rPr>
        <w:t>sanctions</w:t>
      </w:r>
      <w:r>
        <w:rPr>
          <w:lang w:val="en-US"/>
        </w:rPr>
        <w:t>.</w:t>
      </w:r>
      <w:r w:rsidR="00A862CD">
        <w:rPr>
          <w:lang w:val="en-US"/>
        </w:rPr>
        <w:t xml:space="preserve"> Therefore accurate measurement of behavior and likelihood of relapse is essential and help define fundamental changes which are necessary for determining improved outcomes based on the set goals</w:t>
      </w:r>
      <w:r w:rsidR="00720CF3">
        <w:rPr>
          <w:lang w:val="en-US"/>
        </w:rPr>
        <w:t xml:space="preserve"> (Chung et al., 2015).</w:t>
      </w:r>
    </w:p>
    <w:p w14:paraId="52734739" w14:textId="77777777" w:rsidR="00A055D9" w:rsidRDefault="00A055D9" w:rsidP="00720CF3">
      <w:pPr>
        <w:spacing w:line="480" w:lineRule="auto"/>
        <w:ind w:firstLine="720"/>
        <w:rPr>
          <w:lang w:val="en-US"/>
        </w:rPr>
      </w:pPr>
    </w:p>
    <w:p w14:paraId="7EE8D106" w14:textId="2B6E8E52" w:rsidR="00A862CD" w:rsidRDefault="00437C63" w:rsidP="00720CF3">
      <w:pPr>
        <w:spacing w:line="480" w:lineRule="auto"/>
        <w:ind w:firstLine="720"/>
        <w:rPr>
          <w:lang w:val="en-US"/>
        </w:rPr>
      </w:pPr>
      <w:r>
        <w:rPr>
          <w:lang w:val="en-US"/>
        </w:rPr>
        <w:lastRenderedPageBreak/>
        <w:t xml:space="preserve">Harm reduction model </w:t>
      </w:r>
    </w:p>
    <w:p w14:paraId="0FC17AD0" w14:textId="77777777" w:rsidR="00720CF3" w:rsidRDefault="00437C63" w:rsidP="00720CF3">
      <w:pPr>
        <w:spacing w:line="480" w:lineRule="auto"/>
        <w:ind w:firstLine="720"/>
        <w:rPr>
          <w:lang w:val="en-US"/>
        </w:rPr>
      </w:pPr>
      <w:r>
        <w:rPr>
          <w:lang w:val="en-US"/>
        </w:rPr>
        <w:t>This model highlights that a given treatment is perceived as being successful if less harm is done when going through the procedure as compared to no treatment at all. An example, in this case, would be a pedophile who goes through a treatment program and even if he is returned to prison, it is with a lesser charge. Thus the risk of harm has decreased which means that the intervention or program has been successful in managing to control a more severe criminal offense (</w:t>
      </w:r>
      <w:r w:rsidRPr="00720CF3">
        <w:t>Chung</w:t>
      </w:r>
      <w:r>
        <w:rPr>
          <w:lang w:val="en-US"/>
        </w:rPr>
        <w:t xml:space="preserve"> et al., 2015). </w:t>
      </w:r>
    </w:p>
    <w:p w14:paraId="4B56B4D5" w14:textId="40FB9CF7" w:rsidR="00A862CD" w:rsidRDefault="00437C63" w:rsidP="00720CF3">
      <w:pPr>
        <w:spacing w:line="480" w:lineRule="auto"/>
        <w:ind w:firstLine="720"/>
        <w:rPr>
          <w:lang w:val="en-US"/>
        </w:rPr>
      </w:pPr>
      <w:r>
        <w:rPr>
          <w:lang w:val="en-US"/>
        </w:rPr>
        <w:t xml:space="preserve">A key benefit of this model is that it offers a better option than the all or none approach since an individual can learn and understand that a given action is wrong and should not be undertaken. It takes into consideration the quality of the behavior which is essential in determining the success of a given model. The limitation of this model is that it does not provide a </w:t>
      </w:r>
      <w:r w:rsidR="0056135F">
        <w:rPr>
          <w:lang w:val="en-US"/>
        </w:rPr>
        <w:t>permanent solution in reforming an individual behavior but instead is more focused on a specific issue which can give rise to other challenges which are viewed to be of lesser quality. Harm reduction is essential but does not advocate for a total decrease in transforming an individual behavior and adopt positive development</w:t>
      </w:r>
      <w:r w:rsidR="00720CF3">
        <w:rPr>
          <w:lang w:val="en-US"/>
        </w:rPr>
        <w:t xml:space="preserve"> </w:t>
      </w:r>
      <w:r w:rsidR="00720CF3" w:rsidRPr="00720CF3">
        <w:rPr>
          <w:lang w:val="en-US"/>
        </w:rPr>
        <w:t>(</w:t>
      </w:r>
      <w:r w:rsidR="00720CF3" w:rsidRPr="00720CF3">
        <w:t>Paternoster, Brame &amp; Bushway, 2013).</w:t>
      </w:r>
    </w:p>
    <w:p w14:paraId="08F01BA3" w14:textId="6DDC03EA" w:rsidR="0056135F" w:rsidRDefault="00437C63" w:rsidP="00720CF3">
      <w:pPr>
        <w:spacing w:line="480" w:lineRule="auto"/>
        <w:ind w:firstLine="720"/>
        <w:rPr>
          <w:lang w:val="en-US"/>
        </w:rPr>
      </w:pPr>
      <w:r>
        <w:rPr>
          <w:lang w:val="en-US"/>
        </w:rPr>
        <w:t xml:space="preserve">Recidivism </w:t>
      </w:r>
    </w:p>
    <w:p w14:paraId="70A1AF8F" w14:textId="5E69D87E" w:rsidR="00DC3F27" w:rsidRDefault="00437C63" w:rsidP="00720CF3">
      <w:pPr>
        <w:spacing w:line="480" w:lineRule="auto"/>
        <w:ind w:firstLine="720"/>
        <w:rPr>
          <w:lang w:val="en-US"/>
        </w:rPr>
      </w:pPr>
      <w:r>
        <w:rPr>
          <w:lang w:val="en-US"/>
        </w:rPr>
        <w:t xml:space="preserve">Recidivism occurs when an individual who was arrested previously is re-arrested again either for the same or different offense. Therefore recidivism evaluates different situations based on whether an individual has returned or not returned. When an individual is incarcerated, there are various programs that they enroll to ensure that they transform their behavior and make efforts to achieve positive re-integration into society. However, there are different situations when these programs are unable to help an individual become </w:t>
      </w:r>
      <w:r>
        <w:rPr>
          <w:lang w:val="en-US"/>
        </w:rPr>
        <w:lastRenderedPageBreak/>
        <w:t>independent or unable to fully transform their behavior which leads them to commit crimes again</w:t>
      </w:r>
      <w:r w:rsidR="00720CF3">
        <w:rPr>
          <w:lang w:val="en-US"/>
        </w:rPr>
        <w:t xml:space="preserve"> (</w:t>
      </w:r>
      <w:r w:rsidR="00720CF3" w:rsidRPr="00720CF3">
        <w:t>Paternoster, Brame &amp; Bushway, 2013).</w:t>
      </w:r>
    </w:p>
    <w:p w14:paraId="2C8F1CBF" w14:textId="38CE3781" w:rsidR="0056135F" w:rsidRDefault="00437C63" w:rsidP="00720CF3">
      <w:pPr>
        <w:spacing w:line="480" w:lineRule="auto"/>
        <w:ind w:firstLine="720"/>
        <w:rPr>
          <w:lang w:val="en-US"/>
        </w:rPr>
      </w:pPr>
      <w:r w:rsidRPr="00DC3F27">
        <w:rPr>
          <w:lang w:val="en-US"/>
        </w:rPr>
        <w:t>The benefit of using this model is that it is easy to measure considering that it is easy to determine whether an individual returns to prison or not. The programs that are implemented in this case focus on ensuring that an individual does not return to prison under any circumstance. Measurement can be quickly done without having to conduct an actual count of individuals.</w:t>
      </w:r>
      <w:r>
        <w:rPr>
          <w:lang w:val="en-US"/>
        </w:rPr>
        <w:t xml:space="preserve">  A key challenge of this method is that it does not take into consideration the reason why an individual is returned to prison. The reason for return to prison is given the same weight as the previous reason for incarceration. Having a positive test for the drug would have the same influence as murder charge which does not present the desired picture on whether the previous program was successful or not</w:t>
      </w:r>
      <w:r w:rsidR="00720CF3">
        <w:rPr>
          <w:lang w:val="en-US"/>
        </w:rPr>
        <w:t xml:space="preserve"> (</w:t>
      </w:r>
      <w:r w:rsidR="00720CF3" w:rsidRPr="00720CF3">
        <w:t>Tollenaar &amp; Van der Heijden, 2013).</w:t>
      </w:r>
    </w:p>
    <w:p w14:paraId="6C343348" w14:textId="297F7AD4" w:rsidR="00DC3F27" w:rsidRDefault="00437C63" w:rsidP="00720CF3">
      <w:pPr>
        <w:spacing w:line="480" w:lineRule="auto"/>
        <w:ind w:firstLine="720"/>
        <w:rPr>
          <w:lang w:val="en-US"/>
        </w:rPr>
      </w:pPr>
      <w:r>
        <w:rPr>
          <w:lang w:val="en-US"/>
        </w:rPr>
        <w:t xml:space="preserve">Opinion </w:t>
      </w:r>
    </w:p>
    <w:p w14:paraId="63D555C7" w14:textId="29EE5D44" w:rsidR="00DC3F27" w:rsidRDefault="00437C63" w:rsidP="00720CF3">
      <w:pPr>
        <w:spacing w:line="480" w:lineRule="auto"/>
        <w:ind w:firstLine="720"/>
        <w:rPr>
          <w:lang w:val="en-US"/>
        </w:rPr>
      </w:pPr>
      <w:r>
        <w:rPr>
          <w:lang w:val="en-US"/>
        </w:rPr>
        <w:t xml:space="preserve">Each of these three treatment outcome models has benefits and drawbacks which mean that no specific model is perfect and has excellent reliability in its application. </w:t>
      </w:r>
      <w:r w:rsidR="00A3716A">
        <w:rPr>
          <w:lang w:val="en-US"/>
        </w:rPr>
        <w:t xml:space="preserve"> Therefore I have learned that the best model to use is the one that focuses on the issue and is defined with a critical focus on controlling the problem and transforming an individual behavior as a whole rather than specific aspects which are difficult to control. </w:t>
      </w:r>
    </w:p>
    <w:p w14:paraId="292573BE" w14:textId="6F2A92A3" w:rsidR="0056135F" w:rsidRDefault="00437C63" w:rsidP="00DC3F27">
      <w:pPr>
        <w:rPr>
          <w:lang w:val="en-US"/>
        </w:rPr>
      </w:pPr>
      <w:r w:rsidRPr="0056135F">
        <w:br/>
      </w:r>
    </w:p>
    <w:p w14:paraId="0F1C0CD1" w14:textId="0F623927" w:rsidR="0056135F" w:rsidRDefault="0056135F">
      <w:pPr>
        <w:rPr>
          <w:lang w:val="en-US"/>
        </w:rPr>
      </w:pPr>
    </w:p>
    <w:p w14:paraId="4637527A" w14:textId="5363ECD5" w:rsidR="00720CF3" w:rsidRDefault="00720CF3">
      <w:pPr>
        <w:rPr>
          <w:lang w:val="en-US"/>
        </w:rPr>
      </w:pPr>
    </w:p>
    <w:p w14:paraId="3B819167" w14:textId="74B3F714" w:rsidR="00720CF3" w:rsidRDefault="00720CF3">
      <w:pPr>
        <w:rPr>
          <w:lang w:val="en-US"/>
        </w:rPr>
      </w:pPr>
    </w:p>
    <w:p w14:paraId="371AB23A" w14:textId="16342D92" w:rsidR="00720CF3" w:rsidRDefault="00720CF3">
      <w:pPr>
        <w:rPr>
          <w:lang w:val="en-US"/>
        </w:rPr>
      </w:pPr>
    </w:p>
    <w:p w14:paraId="6AC4ECFD" w14:textId="1FC49388" w:rsidR="00720CF3" w:rsidRDefault="00720CF3">
      <w:pPr>
        <w:rPr>
          <w:lang w:val="en-US"/>
        </w:rPr>
      </w:pPr>
    </w:p>
    <w:p w14:paraId="535C985B" w14:textId="224DADA2" w:rsidR="00720CF3" w:rsidRDefault="00720CF3">
      <w:pPr>
        <w:rPr>
          <w:lang w:val="en-US"/>
        </w:rPr>
      </w:pPr>
    </w:p>
    <w:p w14:paraId="190AD9C6" w14:textId="77777777" w:rsidR="00720CF3" w:rsidRDefault="00720CF3">
      <w:pPr>
        <w:rPr>
          <w:lang w:val="en-US"/>
        </w:rPr>
      </w:pPr>
    </w:p>
    <w:p w14:paraId="4150C2F0" w14:textId="43199D4C" w:rsidR="008847E7" w:rsidRDefault="008847E7"/>
    <w:p w14:paraId="10A0ECF1" w14:textId="50514411" w:rsidR="008847E7" w:rsidRDefault="00437C63" w:rsidP="00720CF3">
      <w:pPr>
        <w:jc w:val="center"/>
        <w:rPr>
          <w:lang w:val="en-US"/>
        </w:rPr>
      </w:pPr>
      <w:r>
        <w:rPr>
          <w:lang w:val="en-US"/>
        </w:rPr>
        <w:t>References</w:t>
      </w:r>
    </w:p>
    <w:p w14:paraId="5F5B23F5" w14:textId="77777777" w:rsidR="00720CF3" w:rsidRPr="00720CF3" w:rsidRDefault="00437C63" w:rsidP="00720CF3">
      <w:pPr>
        <w:spacing w:line="480" w:lineRule="auto"/>
        <w:ind w:left="720" w:hanging="720"/>
      </w:pPr>
      <w:r w:rsidRPr="00720CF3">
        <w:t xml:space="preserve">Chung, P., Daugaard, G., Tyldesley, S., Atenafu, E. G., Panzarella, T., Kollmannsberger, C., &amp; Warde, P. (2015). Evaluation of a prognostic model for the risk of relapse in stage I seminoma surveillance. </w:t>
      </w:r>
      <w:r w:rsidRPr="00720CF3">
        <w:rPr>
          <w:i/>
          <w:iCs/>
        </w:rPr>
        <w:t>Cancer medicine</w:t>
      </w:r>
      <w:r w:rsidRPr="00720CF3">
        <w:t>, </w:t>
      </w:r>
      <w:r w:rsidRPr="00720CF3">
        <w:rPr>
          <w:i/>
          <w:iCs/>
        </w:rPr>
        <w:t>4</w:t>
      </w:r>
      <w:r w:rsidRPr="00720CF3">
        <w:t>(1), 155-160.</w:t>
      </w:r>
    </w:p>
    <w:p w14:paraId="467F5E79" w14:textId="77777777" w:rsidR="00720CF3" w:rsidRDefault="00437C63" w:rsidP="00720CF3">
      <w:pPr>
        <w:spacing w:line="480" w:lineRule="auto"/>
        <w:ind w:left="720" w:hanging="720"/>
      </w:pPr>
      <w:r w:rsidRPr="00720CF3">
        <w:t xml:space="preserve">Paternoster, R., Brame, R., &amp; Bushway, S. D. (2013). Connecting desistance and recidivism: measuring changes in criminality over the lifespan. </w:t>
      </w:r>
      <w:r w:rsidRPr="00720CF3">
        <w:rPr>
          <w:i/>
          <w:iCs/>
        </w:rPr>
        <w:t>After Crime and Punishment</w:t>
      </w:r>
      <w:r w:rsidRPr="00720CF3">
        <w:t>(pp. 103-119). Willan.</w:t>
      </w:r>
    </w:p>
    <w:p w14:paraId="1F581416" w14:textId="77777777" w:rsidR="00720CF3" w:rsidRDefault="00437C63" w:rsidP="00720CF3">
      <w:pPr>
        <w:spacing w:line="480" w:lineRule="auto"/>
        <w:ind w:left="720" w:hanging="720"/>
      </w:pPr>
      <w:r w:rsidRPr="00720CF3">
        <w:t>Tollenaar, N., &amp; Van der Heijden, P. G. M. (2013). Which method predicts recidivism best?: a comparison of statistical, machine learning and data mining predictive models. </w:t>
      </w:r>
      <w:r w:rsidRPr="00720CF3">
        <w:rPr>
          <w:i/>
          <w:iCs/>
        </w:rPr>
        <w:t>Journal of the Royal Statistical Society: Series A (Statistics in Society)</w:t>
      </w:r>
      <w:r w:rsidRPr="00720CF3">
        <w:t>, </w:t>
      </w:r>
      <w:r w:rsidRPr="00720CF3">
        <w:rPr>
          <w:i/>
          <w:iCs/>
        </w:rPr>
        <w:t>176</w:t>
      </w:r>
      <w:r w:rsidRPr="00720CF3">
        <w:t>(2), 565-584.</w:t>
      </w:r>
    </w:p>
    <w:p w14:paraId="11075873" w14:textId="77777777" w:rsidR="00720CF3" w:rsidRDefault="00437C63" w:rsidP="00720CF3">
      <w:pPr>
        <w:spacing w:line="480" w:lineRule="auto"/>
        <w:ind w:left="720" w:hanging="720"/>
      </w:pPr>
      <w:r w:rsidRPr="00720CF3">
        <w:t>Wright, T. E., Schuetter, R., Fombonne, E., Stephenson, J., &amp; Haning, W. F. (2012). Implementation and evaluation of a harm-reduction model for clinical care of substance using pregnant women. </w:t>
      </w:r>
      <w:r w:rsidRPr="00720CF3">
        <w:rPr>
          <w:i/>
          <w:iCs/>
        </w:rPr>
        <w:t>Harm reduction journal</w:t>
      </w:r>
      <w:r w:rsidRPr="00720CF3">
        <w:t>, </w:t>
      </w:r>
      <w:r w:rsidRPr="00720CF3">
        <w:rPr>
          <w:i/>
          <w:iCs/>
        </w:rPr>
        <w:t>9</w:t>
      </w:r>
      <w:r w:rsidRPr="00720CF3">
        <w:t>(1), 5.</w:t>
      </w:r>
    </w:p>
    <w:p w14:paraId="2311C27B" w14:textId="77777777" w:rsidR="00720CF3" w:rsidRPr="00720CF3" w:rsidRDefault="00720CF3">
      <w:pPr>
        <w:rPr>
          <w:lang w:val="en-US"/>
        </w:rPr>
      </w:pPr>
    </w:p>
    <w:sectPr w:rsidR="00720CF3" w:rsidRPr="00720CF3" w:rsidSect="009D502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A2780C" w14:textId="77777777" w:rsidR="003A4C72" w:rsidRDefault="003A4C72">
      <w:pPr>
        <w:spacing w:after="0" w:line="240" w:lineRule="auto"/>
      </w:pPr>
      <w:r>
        <w:separator/>
      </w:r>
    </w:p>
  </w:endnote>
  <w:endnote w:type="continuationSeparator" w:id="0">
    <w:p w14:paraId="65DF7470" w14:textId="77777777" w:rsidR="003A4C72" w:rsidRDefault="003A4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67B6CB" w14:textId="77777777" w:rsidR="003A4C72" w:rsidRDefault="003A4C72">
      <w:pPr>
        <w:spacing w:after="0" w:line="240" w:lineRule="auto"/>
      </w:pPr>
      <w:r>
        <w:separator/>
      </w:r>
    </w:p>
  </w:footnote>
  <w:footnote w:type="continuationSeparator" w:id="0">
    <w:p w14:paraId="28D0F8A3" w14:textId="77777777" w:rsidR="003A4C72" w:rsidRDefault="003A4C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9DC288" w14:textId="0E7DE8EA" w:rsidR="009D502A" w:rsidRDefault="00437C63">
    <w:pPr>
      <w:pStyle w:val="Header"/>
      <w:jc w:val="right"/>
    </w:pPr>
    <w:r w:rsidRPr="009D502A">
      <w:rPr>
        <w:lang w:val="en-US"/>
      </w:rPr>
      <w:t xml:space="preserve">TREATMENT OUTCOME </w:t>
    </w:r>
    <w:r>
      <w:rPr>
        <w:lang w:val="en-US"/>
      </w:rPr>
      <w:t xml:space="preserve">MODELS                                                                                     </w:t>
    </w:r>
    <w:sdt>
      <w:sdtPr>
        <w:id w:val="-12077963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13DC16B" w14:textId="77777777" w:rsidR="009D502A" w:rsidRDefault="009D50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D9B5DE" w14:textId="4803496C" w:rsidR="009D502A" w:rsidRDefault="00437C63">
    <w:pPr>
      <w:pStyle w:val="Header"/>
      <w:jc w:val="right"/>
    </w:pPr>
    <w:r>
      <w:rPr>
        <w:lang w:val="en-US"/>
      </w:rPr>
      <w:t xml:space="preserve">Running head: TREATMENT OUTCOME MODELS                                                   </w:t>
    </w:r>
    <w:sdt>
      <w:sdtPr>
        <w:id w:val="2975775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4A6978C" w14:textId="77777777" w:rsidR="009D502A" w:rsidRDefault="009D50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czNTUxMjIzM7Q0MbRU0lEKTi0uzszPAykwrAUAlppwqywAAAA="/>
  </w:docVars>
  <w:rsids>
    <w:rsidRoot w:val="008847E7"/>
    <w:rsid w:val="003A4C72"/>
    <w:rsid w:val="00437C63"/>
    <w:rsid w:val="0056135F"/>
    <w:rsid w:val="00720CF3"/>
    <w:rsid w:val="007E4390"/>
    <w:rsid w:val="008847E7"/>
    <w:rsid w:val="008F785D"/>
    <w:rsid w:val="009D502A"/>
    <w:rsid w:val="00A055D9"/>
    <w:rsid w:val="00A3716A"/>
    <w:rsid w:val="00A862CD"/>
    <w:rsid w:val="00B44F62"/>
    <w:rsid w:val="00C45D76"/>
    <w:rsid w:val="00DC3F2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46E7D"/>
  <w15:chartTrackingRefBased/>
  <w15:docId w15:val="{7DFD557D-C03F-4E92-ACE5-F9E75FE54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47E7"/>
    <w:rPr>
      <w:color w:val="0563C1" w:themeColor="hyperlink"/>
      <w:u w:val="single"/>
    </w:rPr>
  </w:style>
  <w:style w:type="character" w:customStyle="1" w:styleId="UnresolvedMention1">
    <w:name w:val="Unresolved Mention1"/>
    <w:basedOn w:val="DefaultParagraphFont"/>
    <w:uiPriority w:val="99"/>
    <w:semiHidden/>
    <w:unhideWhenUsed/>
    <w:rsid w:val="008847E7"/>
    <w:rPr>
      <w:color w:val="605E5C"/>
      <w:shd w:val="clear" w:color="auto" w:fill="E1DFDD"/>
    </w:rPr>
  </w:style>
  <w:style w:type="paragraph" w:styleId="Header">
    <w:name w:val="header"/>
    <w:basedOn w:val="Normal"/>
    <w:link w:val="HeaderChar"/>
    <w:uiPriority w:val="99"/>
    <w:unhideWhenUsed/>
    <w:rsid w:val="009D50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502A"/>
  </w:style>
  <w:style w:type="paragraph" w:styleId="Footer">
    <w:name w:val="footer"/>
    <w:basedOn w:val="Normal"/>
    <w:link w:val="FooterChar"/>
    <w:uiPriority w:val="99"/>
    <w:unhideWhenUsed/>
    <w:rsid w:val="009D50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5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922</Words>
  <Characters>5258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2019-03-21T15:24:00Z</dcterms:created>
  <dcterms:modified xsi:type="dcterms:W3CDTF">2019-03-21T15:24:00Z</dcterms:modified>
</cp:coreProperties>
</file>